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Экскурсионный тур «Алтай – место Силы»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95" w:line="26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dd3wtzypogl6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(заезды с 15.10.2023 по 21.04.2024)</w:t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11 дней / 10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Даты заездов: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Октябрь 15, 22, 29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Ноябрь 05, 12, 19, 26 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Декабрь 03, 10, 17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Январь 14, 21, 28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Февраль 11, 18, 25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Март 03, 10, 17, 24</w:t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Апрель 07, 14, 21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Голубые озёра — Водопад Бельтир-Туюк— Ороктойский тектонический разлом — урочище Че-Чкыш (Ущелье Духов) — гора Менжелик - Чемальская ГЭС — о.Патмос — Чуйский тракт — перевалы Семинский и Чике-Таман — древние наскальные рисунки урочища Калбак-Таш — Гейзеровое озеро.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17">
      <w:pPr>
        <w:ind w:left="-993" w:right="-28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«Озеро Манжерок и гора Малая Синюха».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Встреча группы в г. Горно-Алтайске до 11 часов. Комфортабельный трансфер в Чемальский район.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Поездка 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озеру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Манжерок.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подъемнике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вершину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г. Малая Синюха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На горе гости могут (за свой счет) посетить аил с шаманом, побывать в экстрим-парке или совершить прогулку на квадроциклах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- 4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Размещение в двухместных благоустроенных номерах категории «Стандарт» отель “Бирюза” чек-ин в 14:00..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12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vertAlign w:val="baselin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</w:p>
    <w:p w:rsidR="00000000" w:rsidDel="00000000" w:rsidP="00000000" w:rsidRDefault="00000000" w:rsidRPr="00000000" w14:paraId="0000002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на внедорожнике к Голубым озёрам, восхождение на гору Менжелик,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посещение местных галерей и выставок в деревне мастеров - Аскат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Сразу после завтрака отправляемся к уникальным Голубым озёрам, которые открываются взору путника только с осени до весны, когда уровень воды в реке Катунь снижается </w:t>
      </w:r>
      <w:r w:rsidDel="00000000" w:rsidR="00000000" w:rsidRPr="00000000">
        <w:rPr>
          <w:rtl w:val="0"/>
        </w:rPr>
        <w:t xml:space="preserve"> пересыхают две протоки в окрестностях села Аскат. В русле этих проток образовались две впадины, которые заполняются кристально чистой водой из родников. Зимой озера не замерзают. Во время экскурсии гостям будет предложен горячий чай из трав с медом.</w:t>
      </w:r>
    </w:p>
    <w:p w:rsidR="00000000" w:rsidDel="00000000" w:rsidP="00000000" w:rsidRDefault="00000000" w:rsidRPr="00000000" w14:paraId="00000034">
      <w:pPr>
        <w:widowControl w:val="1"/>
        <w:spacing w:after="120" w:lineRule="auto"/>
        <w:rPr/>
      </w:pPr>
      <w:r w:rsidDel="00000000" w:rsidR="00000000" w:rsidRPr="00000000">
        <w:rPr>
          <w:rtl w:val="0"/>
        </w:rPr>
        <w:t xml:space="preserve">По согласованию с группой можно будет запланировать посещение за дополнительную плату парной и купанием в озере с прозрачной водой. Заказать можно будет на месте за 1 день до экскурсии.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 обеда поездка в село Аскат. Посещение галерей местных художников и изготовителей сувениров, посещение травников. Также можно будет </w:t>
      </w:r>
      <w:r w:rsidDel="00000000" w:rsidR="00000000" w:rsidRPr="00000000">
        <w:rPr>
          <w:rtl w:val="0"/>
        </w:rPr>
        <w:t xml:space="preserve">совершить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восхождение на гору Менжилик (активность 1,5 - 2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завтрак и ужин в отеле, обед — пикник в пути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2 км, пешком 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по Чемальскому тракту до водопада Бельтир-Туюк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в отеле.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Чемальскому тракту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Бийкинского археологического комплекса, Ороктойского тектонического разлома, древней наскальной писаницы в окрестностях села Куюс, Водопада Бельтиртуюк, прогулка в долину Средней Катуни.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– 5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80 км, пешком 1км.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Экскурсия «По Чуйскому тракту»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Завтрак в отеле.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  <w:br w:type="textWrapping"/>
        <w:t xml:space="preserve">На берегу реки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Большой Ильгумень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состоится пикник.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Возвращение в Чемальский район, сытный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завтрак и ужин в отеле, обед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в придорожном кафе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авто 500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места от Чемальской ГЭС ехать около 17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ранней форме религии у алтайцев, в основе которой лежит вера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 – 4,5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rPr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авто 80 км, пешком 2 км.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119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Камышлинский водопад и Тавдинские пещеры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После обеда поездка к Камышлинскому водопаду. Пешеходная прогулка по подвесному мосту через реку Катунь и по сосновому бору до водопада (2 км).  Прогулка у водопада, возвращение к автомобилю той же тропой. </w:t>
      </w:r>
    </w:p>
    <w:p w:rsidR="00000000" w:rsidDel="00000000" w:rsidP="00000000" w:rsidRDefault="00000000" w:rsidRPr="00000000" w14:paraId="00000058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В теплые дни осенью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и весной возможна прогулка по Катуни на моторафте (большая моторная лодка, оплачивается дополнительно 400р).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40 км, пешком 4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8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after="120" w:lineRule="auto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9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u w:val="singl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10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after="120" w:lineRule="auto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rPr>
          <w:rFonts w:ascii="Times" w:cs="Times" w:eastAsia="Times" w:hAnsi="Time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after="12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*туристы, которые вылетают из Барнаула утренними рейсами, выезжают трансфером в ночь (путь 4-5 часов),  ланчбоксы выдаются с вечера.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Гости, вылетающие из Горно-Алтайска, ночуют в отеле, утром выезд в аэропорт (путь 1,5 часа), утром выдаются ланчбоксы в дорогу.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трансфер от г. Горно-Алтайска до места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старта размещения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в с.Узнезя и обратно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в день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питание 3-разовое. В день заезда — 2-разовое, в день выезда — ланчбоксы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проживание в отеле по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трансфер из г.Барнаула/Бийска/Новосибирска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проживание при одноместном размещении в отеле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баня.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Ссылка на фото по туру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https://drive.google.com/drive/folders/1AfKqLb9O_I6CfC5BCZ8hb5XLFhEpUN8N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103" w:top="855" w:left="1185" w:right="1136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leader="none" w:pos="4819"/>
        <w:tab w:val="right" w:leader="none" w:pos="9638"/>
      </w:tabs>
      <w:spacing w:before="200" w:lineRule="auto"/>
      <w:jc w:val="center"/>
      <w:rPr>
        <w:rFonts w:ascii="Helvetica Neue" w:cs="Helvetica Neue" w:eastAsia="Helvetica Neue" w:hAnsi="Helvetica Neue"/>
        <w:color w:val="666666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color w:val="666666"/>
        <w:sz w:val="16"/>
        <w:szCs w:val="16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-39849</wp:posOffset>
          </wp:positionV>
          <wp:extent cx="660400" cy="660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1">
    <w:name w:val="Основной шрифт1"/>
    <w:next w:val="Основнойшрифт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1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1">
    <w:name w:val="Гиперссылка1"/>
    <w:next w:val="Гиперссылк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Normal"/>
    <w:next w:val="Названиеобъекта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Normal"/>
    <w:next w:val="Название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Колонтитул">
    <w:name w:val="Колонтитул"/>
    <w:basedOn w:val="Normal"/>
    <w:next w:val="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1">
    <w:name w:val="Название11"/>
    <w:basedOn w:val="Normal"/>
    <w:next w:val="Название11"/>
    <w:autoRedefine w:val="0"/>
    <w:hidden w:val="0"/>
    <w:qFormat w:val="0"/>
    <w:pPr>
      <w:widowControl w:val="0"/>
      <w:suppressAutoHyphens w:val="0"/>
      <w:bidi w:val="0"/>
      <w:spacing w:line="1" w:lineRule="atLeast"/>
      <w:ind w:left="10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Цветнойсписок-Акцент1">
    <w:name w:val="Цветной список - Акцент 1"/>
    <w:basedOn w:val="Normal"/>
    <w:next w:val="Цветнойсписок-Акцент1"/>
    <w:autoRedefine w:val="0"/>
    <w:hidden w:val="0"/>
    <w:qFormat w:val="0"/>
    <w:pPr>
      <w:widowControl w:val="0"/>
      <w:suppressAutoHyphens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31">
    <w:name w:val="Основной текст с отступом 31"/>
    <w:basedOn w:val="Normal"/>
    <w:next w:val="Основнойтекстсотступом31"/>
    <w:autoRedefine w:val="0"/>
    <w:hidden w:val="0"/>
    <w:qFormat w:val="0"/>
    <w:pPr>
      <w:widowControl w:val="0"/>
      <w:suppressAutoHyphens w:val="0"/>
      <w:bidi w:val="0"/>
      <w:spacing w:line="1" w:lineRule="atLeast"/>
      <w:ind w:left="-54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блока1">
    <w:name w:val="Текст блока1"/>
    <w:basedOn w:val="Normal"/>
    <w:next w:val="Текстблока1"/>
    <w:autoRedefine w:val="0"/>
    <w:hidden w:val="0"/>
    <w:qFormat w:val="0"/>
    <w:pPr>
      <w:widowControl w:val="0"/>
      <w:suppressAutoHyphens w:val="0"/>
      <w:bidi w:val="0"/>
      <w:spacing w:line="1" w:lineRule="atLeast"/>
      <w:ind w:left="113" w:right="-57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AfKqLb9O_I6CfC5BCZ8hb5XLFhEpUN8N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CKqIUxlGoM+Qf7a5ji4Tzd1O6g==">CgMxLjAyCGguZ2pkZ3hzMg5oLmRkM3d0enlwb2dsNjIKaWQuMzBqMHpsbDIJaC4zem55c2g3MgloLjFmb2I5dGU4AHIhMVR3cjdGZkJxVGpJdHZWdzU3NDQwWk1MNG1ycGdhUU13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2022-03-21T11:54:00Z</dcterms:created>
  <dc:creator>Dmitry Karelin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